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7527F7DD" w:rsidR="00055BC9" w:rsidRDefault="000742F1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15621BB1">
                    <wp:simplePos x="0" y="0"/>
                    <wp:positionH relativeFrom="margin">
                      <wp:posOffset>4529455</wp:posOffset>
                    </wp:positionH>
                    <wp:positionV relativeFrom="page">
                      <wp:posOffset>495300</wp:posOffset>
                    </wp:positionV>
                    <wp:extent cx="1898650" cy="398780"/>
                    <wp:effectExtent l="0" t="0" r="635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898650" cy="39878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543AA98D" w:rsidR="00313E59" w:rsidRDefault="000742F1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DAF_2025_000</w:t>
                                </w:r>
                                <w:r w:rsidR="00673EF1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886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56.65pt;margin-top:39pt;width:149.5pt;height:31.4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543AA98D" w:rsidR="00313E59" w:rsidRDefault="000742F1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DAF_2025_000</w:t>
                          </w:r>
                          <w:r w:rsidR="00673EF1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886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153AFF7C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112739F9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 w:rsidR="006D5202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travaux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4604F475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D6DF1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D6DF1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" fillcolor="#95b6c5 [1944]" strokecolor="#3e6273 [2408]" strokeweight="2.25pt">
                    <v:stroke endcap="round"/>
                    <v:textbox>
                      <w:txbxContent>
                        <w:p w14:paraId="51374724" w14:textId="112739F9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 w:rsidR="006D5202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travaux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4604F475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D6DF1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D6DF1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1" w14:textId="77777777" w:rsidR="00055BC9" w:rsidRDefault="00055BC9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4E042EC3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351155</wp:posOffset>
                    </wp:positionV>
                    <wp:extent cx="7098665" cy="2581275"/>
                    <wp:effectExtent l="0" t="0" r="26035" b="2857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58127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1A2285AC" w:rsidR="00313E59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</w:t>
                                </w:r>
                                <w:r w:rsidR="00673EF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u </w:t>
                                </w:r>
                                <w:proofErr w:type="gramStart"/>
                                <w:r w:rsidR="00673EF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marché 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  <w:proofErr w:type="gramEnd"/>
                              </w:p>
                              <w:p w14:paraId="2A3DB04A" w14:textId="562FDD42" w:rsidR="000742F1" w:rsidRDefault="00673EF1" w:rsidP="00673EF1">
                                <w:pPr>
                                  <w:jc w:val="center"/>
                                  <w:rPr>
                                    <w:rStyle w:val="lev"/>
                                    <w:sz w:val="32"/>
                                  </w:rPr>
                                </w:pPr>
                                <w:r>
                                  <w:rPr>
                                    <w:rStyle w:val="lev"/>
                                    <w:sz w:val="32"/>
                                  </w:rPr>
                                  <w:t>Mission d’audit énergétique et d’élaboration de programmes d’actions de performance énergétique sur le site de la zone vie de la Base Aérienne 125 d’ISTRES (BA125)</w:t>
                                </w:r>
                                <w:r w:rsidR="002F37C1">
                                  <w:rPr>
                                    <w:rStyle w:val="lev"/>
                                    <w:sz w:val="32"/>
                                  </w:rPr>
                                  <w:t xml:space="preserve"> + 25 e RGA</w:t>
                                </w:r>
                              </w:p>
                              <w:p w14:paraId="4AF36FAC" w14:textId="77777777" w:rsidR="000742F1" w:rsidRPr="00864DCC" w:rsidRDefault="000742F1" w:rsidP="00864DCC">
                                <w:pPr>
                                  <w:rPr>
                                    <w:rStyle w:val="lev"/>
                                    <w:sz w:val="32"/>
                                  </w:rPr>
                                </w:pP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28" type="#_x0000_t202" style="position:absolute;left:0;text-align:left;margin-left:-49.85pt;margin-top:27.65pt;width:558.95pt;height:203.2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" fillcolor="white [3201]" strokecolor="#315847 [1607]" strokeweight="1.5pt">
                    <v:stroke endcap="round"/>
                    <v:textbox>
                      <w:txbxContent>
                        <w:p w14:paraId="51374731" w14:textId="1A2285AC" w:rsidR="00313E59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</w:t>
                          </w:r>
                          <w:r w:rsidR="00673EF1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u </w:t>
                          </w:r>
                          <w:proofErr w:type="gramStart"/>
                          <w:r w:rsidR="00673EF1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marché 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  <w:proofErr w:type="gramEnd"/>
                        </w:p>
                        <w:p w14:paraId="2A3DB04A" w14:textId="562FDD42" w:rsidR="000742F1" w:rsidRDefault="00673EF1" w:rsidP="00673EF1">
                          <w:pPr>
                            <w:jc w:val="center"/>
                            <w:rPr>
                              <w:rStyle w:val="lev"/>
                              <w:sz w:val="32"/>
                            </w:rPr>
                          </w:pPr>
                          <w:r>
                            <w:rPr>
                              <w:rStyle w:val="lev"/>
                              <w:sz w:val="32"/>
                            </w:rPr>
                            <w:t>Mission d’audit énergétique et d’élaboration de programmes d’actions de performance énergétique sur le site de la zone vie de la Base Aérienne 125 d’ISTRES (BA125)</w:t>
                          </w:r>
                          <w:r w:rsidR="002F37C1">
                            <w:rPr>
                              <w:rStyle w:val="lev"/>
                              <w:sz w:val="32"/>
                            </w:rPr>
                            <w:t xml:space="preserve"> + 25 e </w:t>
                          </w:r>
                          <w:r w:rsidR="002F37C1">
                            <w:rPr>
                              <w:rStyle w:val="lev"/>
                              <w:sz w:val="32"/>
                            </w:rPr>
                            <w:t>RGA</w:t>
                          </w:r>
                          <w:bookmarkStart w:id="1" w:name="_GoBack"/>
                          <w:bookmarkEnd w:id="1"/>
                        </w:p>
                        <w:p w14:paraId="4AF36FAC" w14:textId="77777777" w:rsidR="000742F1" w:rsidRPr="00864DCC" w:rsidRDefault="000742F1" w:rsidP="00864DCC">
                          <w:pPr>
                            <w:rPr>
                              <w:rStyle w:val="lev"/>
                              <w:sz w:val="32"/>
                            </w:rPr>
                          </w:pP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21EE4896" w14:textId="77777777" w:rsidR="009F766F" w:rsidRDefault="009F766F" w:rsidP="009F766F"/>
        <w:p w14:paraId="79332240" w14:textId="77777777" w:rsidR="009F766F" w:rsidRDefault="009F766F" w:rsidP="009F766F"/>
        <w:p w14:paraId="13CBE32A" w14:textId="77777777" w:rsidR="009F766F" w:rsidRDefault="009F766F" w:rsidP="009F766F"/>
        <w:p w14:paraId="32751334" w14:textId="1F5B947E" w:rsidR="009F766F" w:rsidRDefault="009F766F" w:rsidP="009F766F">
          <w:pPr>
            <w:ind w:hanging="993"/>
          </w:pPr>
          <w:r>
            <w:t>NOM DU CANDIDAT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513746F3" w14:textId="1568A0D2" w:rsidR="003474AD" w:rsidRDefault="003474AD" w:rsidP="009F766F">
          <w:pPr>
            <w:sectPr w:rsidR="003474A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5C37392D" w:rsidR="00410AFD" w:rsidRDefault="007A5230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3"/>
        <w:gridCol w:w="4111"/>
        <w:gridCol w:w="3386"/>
      </w:tblGrid>
      <w:tr w:rsidR="00CC58A5" w:rsidRPr="006A1EE6" w14:paraId="513746FA" w14:textId="77777777" w:rsidTr="00CC58A5">
        <w:trPr>
          <w:trHeight w:val="1339"/>
        </w:trPr>
        <w:tc>
          <w:tcPr>
            <w:tcW w:w="63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95B6C5" w:themeFill="accent5" w:themeFillTint="99"/>
            <w:vAlign w:val="center"/>
          </w:tcPr>
          <w:p w14:paraId="513746F5" w14:textId="275943AC" w:rsidR="00CC58A5" w:rsidRPr="006D5202" w:rsidRDefault="00CC58A5" w:rsidP="00CC58A5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 xml:space="preserve">Eléments du mémoire </w:t>
            </w:r>
            <w:r w:rsidRPr="006D5202">
              <w:rPr>
                <w:bCs/>
                <w:i/>
                <w:iCs/>
                <w:color w:val="FFFFFF" w:themeColor="background1"/>
                <w:sz w:val="22"/>
                <w:szCs w:val="22"/>
              </w:rPr>
              <w:t>(et notation maximum par élément)</w:t>
            </w:r>
          </w:p>
          <w:p w14:paraId="513746F6" w14:textId="12CC885E" w:rsidR="00CC58A5" w:rsidRPr="006D5202" w:rsidRDefault="00CC58A5" w:rsidP="00CC58A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FFFFFF" w:themeColor="background1"/>
                <w:szCs w:val="20"/>
              </w:rPr>
            </w:pPr>
          </w:p>
        </w:tc>
        <w:tc>
          <w:tcPr>
            <w:tcW w:w="33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6C5" w:themeFill="accent5" w:themeFillTint="99"/>
            <w:vAlign w:val="center"/>
          </w:tcPr>
          <w:p w14:paraId="513746F7" w14:textId="77777777" w:rsidR="00CC58A5" w:rsidRPr="006D5202" w:rsidRDefault="00CC58A5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>Descriptif proposé par le candidat</w:t>
            </w:r>
          </w:p>
          <w:p w14:paraId="513746F9" w14:textId="6EE09AAB" w:rsidR="00CC58A5" w:rsidRPr="006D5202" w:rsidRDefault="00CC58A5" w:rsidP="004438D6">
            <w:pPr>
              <w:autoSpaceDE w:val="0"/>
              <w:autoSpaceDN w:val="0"/>
              <w:adjustRightInd w:val="0"/>
              <w:rPr>
                <w:bCs/>
                <w:i/>
                <w:iCs/>
                <w:color w:val="FFFFFF" w:themeColor="background1"/>
                <w:szCs w:val="20"/>
              </w:rPr>
            </w:pP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 xml:space="preserve">(en cas de renvoi à un document annexe, le candidat indiquera impérativement les références </w:t>
            </w:r>
            <w:r w:rsidRPr="006D5202">
              <w:rPr>
                <w:rFonts w:ascii="Times New Roman,BoldItalic" w:hAnsi="Times New Roman,BoldItalic" w:cs="Times New Roman,BoldItalic"/>
                <w:bCs/>
                <w:i/>
                <w:iCs/>
                <w:color w:val="FFFFFF" w:themeColor="background1"/>
                <w:szCs w:val="20"/>
              </w:rPr>
              <w:t xml:space="preserve">– </w:t>
            </w: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>n° de pages et chapitres concernés)</w:t>
            </w:r>
          </w:p>
        </w:tc>
      </w:tr>
      <w:tr w:rsidR="00CC58A5" w:rsidRPr="003B66F6" w14:paraId="513746FE" w14:textId="77777777" w:rsidTr="00CC58A5">
        <w:trPr>
          <w:trHeight w:val="548"/>
        </w:trPr>
        <w:tc>
          <w:tcPr>
            <w:tcW w:w="225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50CC48" w14:textId="6B6A4B9F" w:rsidR="00CC58A5" w:rsidRPr="00AE2E39" w:rsidRDefault="00DC3268" w:rsidP="00673E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bookmarkStart w:id="0" w:name="_Toc42079488"/>
            <w:r>
              <w:rPr>
                <w:rFonts w:cs="Arial"/>
                <w:b/>
              </w:rPr>
              <w:t>ITEM</w:t>
            </w:r>
            <w:r w:rsidR="00CC58A5" w:rsidRPr="00AE2E39">
              <w:rPr>
                <w:rFonts w:cs="Arial"/>
                <w:b/>
              </w:rPr>
              <w:t xml:space="preserve"> n°1 : </w:t>
            </w:r>
            <w:r w:rsidR="00673EF1">
              <w:rPr>
                <w:rFonts w:cs="Arial"/>
                <w:b/>
              </w:rPr>
              <w:t xml:space="preserve"> </w:t>
            </w:r>
            <w:r w:rsidR="000F18E1">
              <w:rPr>
                <w:rFonts w:cs="Arial"/>
                <w:b/>
              </w:rPr>
              <w:t xml:space="preserve">Présentation des moyens humains affectés spécifiquement au marché </w:t>
            </w:r>
            <w:r w:rsidR="00864DCC">
              <w:rPr>
                <w:rFonts w:cs="Arial"/>
                <w:b/>
              </w:rPr>
              <w:t>(</w:t>
            </w:r>
            <w:r w:rsidR="00673EF1">
              <w:rPr>
                <w:rFonts w:cs="Arial"/>
                <w:b/>
              </w:rPr>
              <w:t>5</w:t>
            </w:r>
            <w:r w:rsidR="00864DCC">
              <w:rPr>
                <w:rFonts w:cs="Arial"/>
                <w:b/>
              </w:rPr>
              <w:t xml:space="preserve"> points)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2D7CCFA" w14:textId="77777777" w:rsidR="00673EF1" w:rsidRDefault="00673EF1" w:rsidP="0059113E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  <w:p w14:paraId="513746FC" w14:textId="3EE8A874" w:rsidR="00CC58A5" w:rsidRPr="0059113E" w:rsidRDefault="00673EF1" w:rsidP="000F18E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</w:rPr>
            </w:pPr>
            <w:r>
              <w:rPr>
                <w:rFonts w:cs="Arial"/>
              </w:rPr>
              <w:t>Sous-</w:t>
            </w:r>
            <w:r w:rsidR="00CC58A5" w:rsidRPr="0059113E">
              <w:rPr>
                <w:rFonts w:cs="Arial"/>
              </w:rPr>
              <w:t>Item 1</w:t>
            </w:r>
            <w:r>
              <w:rPr>
                <w:rFonts w:cs="Arial"/>
              </w:rPr>
              <w:t>.1</w:t>
            </w:r>
            <w:r w:rsidR="00CC58A5" w:rsidRPr="0059113E">
              <w:rPr>
                <w:rFonts w:cs="Arial"/>
              </w:rPr>
              <w:t xml:space="preserve"> : </w:t>
            </w:r>
            <w:r w:rsidR="000F18E1">
              <w:rPr>
                <w:rFonts w:cs="Arial"/>
              </w:rPr>
              <w:t>CV des titulaires et suppléants indiqués dans l’AE détaillant la formation et l’expérience des intervenants. (1 point)</w:t>
            </w:r>
          </w:p>
        </w:tc>
        <w:tc>
          <w:tcPr>
            <w:tcW w:w="3386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3746FD" w14:textId="4F9881AA" w:rsidR="00CC58A5" w:rsidRPr="003B66F6" w:rsidRDefault="00CC58A5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CC58A5" w:rsidRPr="003B66F6" w14:paraId="6DD0641A" w14:textId="77777777" w:rsidTr="00CC58A5">
        <w:trPr>
          <w:trHeight w:val="226"/>
        </w:trPr>
        <w:tc>
          <w:tcPr>
            <w:tcW w:w="2253" w:type="dxa"/>
            <w:vMerge/>
            <w:tcBorders>
              <w:left w:val="single" w:sz="12" w:space="0" w:color="auto"/>
            </w:tcBorders>
          </w:tcPr>
          <w:p w14:paraId="7F72B6B6" w14:textId="77777777" w:rsidR="00CC58A5" w:rsidRPr="0059113E" w:rsidRDefault="00CC58A5" w:rsidP="0059113E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</w:tc>
        <w:tc>
          <w:tcPr>
            <w:tcW w:w="411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E50B88F" w14:textId="367B9319" w:rsidR="00CC58A5" w:rsidRDefault="00673EF1" w:rsidP="004C6EE3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>
              <w:rPr>
                <w:rFonts w:cs="Arial"/>
              </w:rPr>
              <w:t>Sous-</w:t>
            </w:r>
            <w:r w:rsidR="00CC58A5" w:rsidRPr="0059113E">
              <w:rPr>
                <w:rFonts w:cs="Arial"/>
              </w:rPr>
              <w:t xml:space="preserve">Item </w:t>
            </w:r>
            <w:r>
              <w:rPr>
                <w:rFonts w:cs="Arial"/>
              </w:rPr>
              <w:t>1.2</w:t>
            </w:r>
            <w:r w:rsidR="00CC58A5" w:rsidRPr="0059113E">
              <w:rPr>
                <w:rFonts w:cs="Arial"/>
              </w:rPr>
              <w:t xml:space="preserve"> : </w:t>
            </w:r>
            <w:r w:rsidR="000F18E1">
              <w:rPr>
                <w:rFonts w:cs="Arial"/>
              </w:rPr>
              <w:t xml:space="preserve"> Une note limitée à 5 pages </w:t>
            </w:r>
            <w:r w:rsidR="004C6EE3">
              <w:rPr>
                <w:rFonts w:cs="Arial"/>
              </w:rPr>
              <w:t xml:space="preserve">(resto-verso de format A4 en police Calibri 11) </w:t>
            </w:r>
            <w:r w:rsidR="000F18E1">
              <w:rPr>
                <w:rFonts w:cs="Arial"/>
              </w:rPr>
              <w:t>présentant les moyens spécifiquement affectés au marché pour la bonne exécution de la mission, notamment sur la simultanéité des parties techniques. (3 points)</w:t>
            </w:r>
          </w:p>
          <w:p w14:paraId="3679BE40" w14:textId="77777777" w:rsidR="004C6EE3" w:rsidRPr="004C6EE3" w:rsidRDefault="004C6EE3" w:rsidP="004C6EE3">
            <w:pPr>
              <w:spacing w:before="60" w:after="60" w:line="240" w:lineRule="auto"/>
              <w:ind w:left="40"/>
              <w:contextualSpacing/>
              <w:rPr>
                <w:rFonts w:eastAsia="Calibri" w:cs="Arial"/>
                <w:szCs w:val="20"/>
              </w:rPr>
            </w:pPr>
            <w:r w:rsidRPr="004C6EE3">
              <w:rPr>
                <w:rFonts w:eastAsia="Calibri" w:cs="Arial"/>
                <w:szCs w:val="20"/>
              </w:rPr>
              <w:t xml:space="preserve">Le respect du formalisme de cette note (décrit dans le mémoire technique) est impératif, à défaut l’offre sera considérée comme irrégulière. </w:t>
            </w:r>
          </w:p>
          <w:p w14:paraId="3D801B30" w14:textId="2BC5CCDB" w:rsidR="004C6EE3" w:rsidRPr="0059113E" w:rsidRDefault="004C6EE3" w:rsidP="004C6EE3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</w:tc>
        <w:tc>
          <w:tcPr>
            <w:tcW w:w="3386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9FDC39" w14:textId="77777777" w:rsidR="00CC58A5" w:rsidRPr="003B66F6" w:rsidRDefault="00CC58A5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CC58A5" w:rsidRPr="003B66F6" w14:paraId="0F5A474B" w14:textId="77777777" w:rsidTr="00673EF1">
        <w:trPr>
          <w:trHeight w:val="304"/>
        </w:trPr>
        <w:tc>
          <w:tcPr>
            <w:tcW w:w="225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CB604BE" w14:textId="77777777" w:rsidR="00CC58A5" w:rsidRPr="00AE2E39" w:rsidRDefault="00CC58A5" w:rsidP="0059113E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</w:tc>
        <w:tc>
          <w:tcPr>
            <w:tcW w:w="411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60D335" w14:textId="40185E32" w:rsidR="00CC58A5" w:rsidRPr="00864DCC" w:rsidRDefault="00673EF1" w:rsidP="000F18E1">
            <w:r>
              <w:rPr>
                <w:rFonts w:cs="Arial"/>
              </w:rPr>
              <w:t>Sous-</w:t>
            </w:r>
            <w:r w:rsidR="00CC58A5" w:rsidRPr="00864DCC">
              <w:rPr>
                <w:rFonts w:cs="Arial"/>
              </w:rPr>
              <w:t xml:space="preserve">Item </w:t>
            </w:r>
            <w:r>
              <w:rPr>
                <w:rFonts w:cs="Arial"/>
              </w:rPr>
              <w:t>1.</w:t>
            </w:r>
            <w:r w:rsidR="00CC58A5" w:rsidRPr="00864DCC">
              <w:rPr>
                <w:rFonts w:cs="Arial"/>
              </w:rPr>
              <w:t xml:space="preserve">3 : </w:t>
            </w:r>
            <w:r w:rsidR="000F18E1">
              <w:rPr>
                <w:rFonts w:cs="Arial"/>
              </w:rPr>
              <w:t>Temps d’intervention envisagé, avec remise du tableau des temps d’intervention en heures. (1 point)</w:t>
            </w:r>
          </w:p>
        </w:tc>
        <w:tc>
          <w:tcPr>
            <w:tcW w:w="3386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34210" w14:textId="77777777" w:rsidR="00CC58A5" w:rsidRPr="003B66F6" w:rsidRDefault="00CC58A5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673EF1" w:rsidRPr="003B66F6" w14:paraId="51374703" w14:textId="77777777" w:rsidTr="00673EF1">
        <w:trPr>
          <w:trHeight w:val="911"/>
        </w:trPr>
        <w:tc>
          <w:tcPr>
            <w:tcW w:w="225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7C329C8" w14:textId="40CB7FE6" w:rsidR="00673EF1" w:rsidRPr="00AE2E39" w:rsidRDefault="00DC3268" w:rsidP="00673E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ITEM</w:t>
            </w:r>
            <w:bookmarkStart w:id="1" w:name="_GoBack"/>
            <w:bookmarkEnd w:id="1"/>
            <w:r w:rsidR="00673EF1" w:rsidRPr="00AE2E39">
              <w:rPr>
                <w:rFonts w:cs="Arial"/>
                <w:b/>
              </w:rPr>
              <w:t xml:space="preserve"> n°2 : </w:t>
            </w:r>
            <w:r w:rsidR="000F18E1">
              <w:rPr>
                <w:rFonts w:cs="Arial"/>
                <w:b/>
              </w:rPr>
              <w:t xml:space="preserve">Expérience  et technicité </w:t>
            </w:r>
            <w:r w:rsidR="00673EF1">
              <w:rPr>
                <w:rFonts w:cs="Arial"/>
                <w:b/>
              </w:rPr>
              <w:t>(30 points)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1374701" w14:textId="764CA2F6" w:rsidR="00673EF1" w:rsidRPr="000F18E1" w:rsidRDefault="00673EF1" w:rsidP="004C6EE3">
            <w:pPr>
              <w:rPr>
                <w:rFonts w:cs="Arial"/>
              </w:rPr>
            </w:pPr>
            <w:r w:rsidRPr="000F18E1">
              <w:rPr>
                <w:rFonts w:cs="Arial"/>
              </w:rPr>
              <w:t>Sous-Item 2.1</w:t>
            </w:r>
            <w:r w:rsidRPr="000F18E1">
              <w:rPr>
                <w:rFonts w:ascii="Calibri" w:hAnsi="Calibri" w:cs="Calibri"/>
              </w:rPr>
              <w:t> </w:t>
            </w:r>
            <w:r w:rsidRPr="000F18E1">
              <w:rPr>
                <w:rFonts w:cs="Arial"/>
              </w:rPr>
              <w:t>:</w:t>
            </w:r>
            <w:r w:rsidR="000F18E1" w:rsidRPr="000F18E1">
              <w:rPr>
                <w:rFonts w:cs="Arial"/>
              </w:rPr>
              <w:t xml:space="preserve"> </w:t>
            </w:r>
            <w:r w:rsidR="004C6EE3">
              <w:rPr>
                <w:rFonts w:cs="Arial"/>
              </w:rPr>
              <w:t>Description de la méthode envisagée pour la rédaction d’un d</w:t>
            </w:r>
            <w:r w:rsidR="000F18E1" w:rsidRPr="000F18E1">
              <w:rPr>
                <w:rFonts w:cs="Arial"/>
              </w:rPr>
              <w:t>iagnostic d’une situation énergétique de référence. (10 points)</w:t>
            </w:r>
          </w:p>
        </w:tc>
        <w:tc>
          <w:tcPr>
            <w:tcW w:w="3386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374702" w14:textId="77777777" w:rsidR="00673EF1" w:rsidRPr="00D75EF9" w:rsidRDefault="00673EF1" w:rsidP="00CC58A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673EF1" w:rsidRPr="003B66F6" w14:paraId="194B3AB8" w14:textId="77777777" w:rsidTr="00673EF1">
        <w:trPr>
          <w:trHeight w:val="825"/>
        </w:trPr>
        <w:tc>
          <w:tcPr>
            <w:tcW w:w="225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2E463E8" w14:textId="77777777" w:rsidR="00673EF1" w:rsidRPr="00AE2E39" w:rsidRDefault="00673EF1" w:rsidP="00673E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</w:p>
        </w:tc>
        <w:tc>
          <w:tcPr>
            <w:tcW w:w="4111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ED99C50" w14:textId="07F1AAF3" w:rsidR="00673EF1" w:rsidRPr="000F18E1" w:rsidRDefault="00673EF1" w:rsidP="00673EF1">
            <w:pPr>
              <w:rPr>
                <w:rFonts w:cs="Arial"/>
              </w:rPr>
            </w:pPr>
            <w:r w:rsidRPr="000F18E1">
              <w:rPr>
                <w:rFonts w:cs="Arial"/>
              </w:rPr>
              <w:t>Sous-Item 2.2</w:t>
            </w:r>
            <w:r w:rsidR="000F18E1" w:rsidRPr="000F18E1">
              <w:rPr>
                <w:rFonts w:ascii="Calibri" w:hAnsi="Calibri" w:cs="Calibri"/>
              </w:rPr>
              <w:t> </w:t>
            </w:r>
            <w:r w:rsidR="000F18E1" w:rsidRPr="000F18E1">
              <w:rPr>
                <w:rFonts w:cs="Arial"/>
              </w:rPr>
              <w:t>: Diagnostic thermique</w:t>
            </w:r>
            <w:r w:rsidR="000F18E1" w:rsidRPr="000F18E1">
              <w:rPr>
                <w:rFonts w:ascii="Calibri" w:hAnsi="Calibri" w:cs="Calibri"/>
              </w:rPr>
              <w:t> </w:t>
            </w:r>
            <w:r w:rsidR="000F18E1" w:rsidRPr="000F18E1">
              <w:rPr>
                <w:rFonts w:cs="Arial"/>
              </w:rPr>
              <w:t>: élaboration de scénarios coûts/performance. (10 points)</w:t>
            </w:r>
          </w:p>
        </w:tc>
        <w:tc>
          <w:tcPr>
            <w:tcW w:w="3386" w:type="dxa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E8B86" w14:textId="77777777" w:rsidR="00673EF1" w:rsidRPr="00D75EF9" w:rsidRDefault="00673EF1" w:rsidP="00CC58A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673EF1" w:rsidRPr="003B66F6" w14:paraId="7E8BF1B0" w14:textId="77777777" w:rsidTr="00673EF1">
        <w:trPr>
          <w:trHeight w:val="965"/>
        </w:trPr>
        <w:tc>
          <w:tcPr>
            <w:tcW w:w="225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D21B6F8" w14:textId="77777777" w:rsidR="00673EF1" w:rsidRPr="00AE2E39" w:rsidRDefault="00673EF1" w:rsidP="00673E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</w:p>
        </w:tc>
        <w:tc>
          <w:tcPr>
            <w:tcW w:w="411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1753C76" w14:textId="12EADA55" w:rsidR="00673EF1" w:rsidRPr="000F18E1" w:rsidRDefault="00673EF1" w:rsidP="00673EF1">
            <w:pPr>
              <w:rPr>
                <w:rFonts w:cs="Arial"/>
              </w:rPr>
            </w:pPr>
            <w:r w:rsidRPr="000F18E1">
              <w:rPr>
                <w:rFonts w:cs="Arial"/>
              </w:rPr>
              <w:t>Sous-Item 2.3</w:t>
            </w:r>
            <w:r w:rsidR="000F18E1" w:rsidRPr="000F18E1">
              <w:rPr>
                <w:rFonts w:ascii="Calibri" w:hAnsi="Calibri" w:cs="Calibri"/>
              </w:rPr>
              <w:t> </w:t>
            </w:r>
            <w:r w:rsidR="000F18E1" w:rsidRPr="000F18E1">
              <w:rPr>
                <w:rFonts w:cs="Arial"/>
              </w:rPr>
              <w:t>: Elaboration d’un plan de comptage adapté aux besoins. (10 points)</w:t>
            </w:r>
          </w:p>
        </w:tc>
        <w:tc>
          <w:tcPr>
            <w:tcW w:w="3386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9D31CA" w14:textId="77777777" w:rsidR="00673EF1" w:rsidRPr="00D75EF9" w:rsidRDefault="00673EF1" w:rsidP="00CC58A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bookmarkEnd w:id="0"/>
    <w:p w14:paraId="0E096108" w14:textId="18DC32F8" w:rsidR="003474AD" w:rsidRPr="005C76E4" w:rsidRDefault="005C76E4" w:rsidP="005C76E4">
      <w:pPr>
        <w:tabs>
          <w:tab w:val="left" w:pos="1087"/>
        </w:tabs>
      </w:pPr>
      <w:r>
        <w:tab/>
      </w:r>
    </w:p>
    <w:sectPr w:rsidR="003474AD" w:rsidRPr="005C76E4" w:rsidSect="009F766F">
      <w:footerReference w:type="first" r:id="rId15"/>
      <w:pgSz w:w="11906" w:h="16838"/>
      <w:pgMar w:top="1417" w:right="709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93821" w14:textId="77777777" w:rsidR="007A5230" w:rsidRDefault="007A5230" w:rsidP="00EA6B59">
      <w:pPr>
        <w:spacing w:after="0" w:line="240" w:lineRule="auto"/>
      </w:pPr>
      <w:r>
        <w:separator/>
      </w:r>
    </w:p>
  </w:endnote>
  <w:endnote w:type="continuationSeparator" w:id="0">
    <w:p w14:paraId="34E0EB3B" w14:textId="77777777" w:rsidR="007A5230" w:rsidRDefault="007A5230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7A5230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56B43" w14:textId="6ABD0A82" w:rsidR="005C76E4" w:rsidRDefault="005C76E4">
    <w:pPr>
      <w:pStyle w:val="Pieddepage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5695A" w14:textId="5758AEE5" w:rsidR="005C76E4" w:rsidRDefault="005C76E4">
    <w:pPr>
      <w:pStyle w:val="Pieddepage"/>
    </w:pPr>
    <w:r>
      <w:t>ESID 2</w:t>
    </w:r>
    <w:r w:rsidR="00A5202C">
      <w:t>5</w:t>
    </w:r>
    <w:r w:rsidR="000F18E1">
      <w:t>-224</w:t>
    </w:r>
    <w:r>
      <w:tab/>
    </w:r>
    <w:r>
      <w:tab/>
    </w:r>
    <w:r>
      <w:tab/>
    </w:r>
    <w:r>
      <w:tab/>
    </w:r>
    <w:r>
      <w:tab/>
    </w:r>
    <w:r>
      <w:tab/>
      <w:t>DAF_202</w:t>
    </w:r>
    <w:r w:rsidR="00A5202C">
      <w:t>5</w:t>
    </w:r>
    <w:r>
      <w:t>_</w:t>
    </w:r>
    <w:r w:rsidR="000F18E1">
      <w:t>000886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218CA2" w14:textId="77777777" w:rsidR="007A5230" w:rsidRDefault="007A5230" w:rsidP="00EA6B59">
      <w:pPr>
        <w:spacing w:after="0" w:line="240" w:lineRule="auto"/>
      </w:pPr>
      <w:r>
        <w:separator/>
      </w:r>
    </w:p>
  </w:footnote>
  <w:footnote w:type="continuationSeparator" w:id="0">
    <w:p w14:paraId="7B052237" w14:textId="77777777" w:rsidR="007A5230" w:rsidRDefault="007A5230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66EEE"/>
    <w:multiLevelType w:val="hybridMultilevel"/>
    <w:tmpl w:val="DA8478BA"/>
    <w:lvl w:ilvl="0" w:tplc="040C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D22E6"/>
    <w:multiLevelType w:val="hybridMultilevel"/>
    <w:tmpl w:val="9DFAEBDA"/>
    <w:lvl w:ilvl="0" w:tplc="31F26BF0">
      <w:numFmt w:val="bullet"/>
      <w:lvlText w:val="-"/>
      <w:lvlJc w:val="left"/>
      <w:pPr>
        <w:ind w:left="393" w:hanging="360"/>
      </w:pPr>
      <w:rPr>
        <w:rFonts w:ascii="Arial" w:eastAsiaTheme="minorHAnsi" w:hAnsi="Arial" w:cs="Arial" w:hint="default"/>
      </w:rPr>
    </w:lvl>
    <w:lvl w:ilvl="1" w:tplc="A21451EA">
      <w:numFmt w:val="bullet"/>
      <w:lvlText w:val=""/>
      <w:lvlJc w:val="left"/>
      <w:pPr>
        <w:ind w:left="1113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9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4" w15:restartNumberingAfterBreak="0">
    <w:nsid w:val="6F5A2253"/>
    <w:multiLevelType w:val="hybridMultilevel"/>
    <w:tmpl w:val="62EA0A14"/>
    <w:lvl w:ilvl="0" w:tplc="35126D4C">
      <w:numFmt w:val="bullet"/>
      <w:lvlText w:val="-"/>
      <w:lvlJc w:val="left"/>
      <w:pPr>
        <w:ind w:left="720" w:hanging="360"/>
      </w:pPr>
      <w:rPr>
        <w:rFonts w:ascii="CIDFont+F2" w:eastAsiaTheme="minorHAnsi" w:hAnsi="CIDFont+F2" w:cs="CIDFont+F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92395"/>
    <w:multiLevelType w:val="hybridMultilevel"/>
    <w:tmpl w:val="F4389A02"/>
    <w:lvl w:ilvl="0" w:tplc="921E20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</w:num>
  <w:num w:numId="3">
    <w:abstractNumId w:val="17"/>
  </w:num>
  <w:num w:numId="4">
    <w:abstractNumId w:val="17"/>
  </w:num>
  <w:num w:numId="5">
    <w:abstractNumId w:val="17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0"/>
  </w:num>
  <w:num w:numId="12">
    <w:abstractNumId w:val="9"/>
  </w:num>
  <w:num w:numId="13">
    <w:abstractNumId w:val="3"/>
  </w:num>
  <w:num w:numId="14">
    <w:abstractNumId w:val="8"/>
  </w:num>
  <w:num w:numId="15">
    <w:abstractNumId w:val="12"/>
  </w:num>
  <w:num w:numId="16">
    <w:abstractNumId w:val="10"/>
  </w:num>
  <w:num w:numId="17">
    <w:abstractNumId w:val="18"/>
  </w:num>
  <w:num w:numId="18">
    <w:abstractNumId w:val="6"/>
  </w:num>
  <w:num w:numId="19">
    <w:abstractNumId w:val="11"/>
  </w:num>
  <w:num w:numId="20">
    <w:abstractNumId w:val="13"/>
  </w:num>
  <w:num w:numId="21">
    <w:abstractNumId w:val="1"/>
  </w:num>
  <w:num w:numId="22">
    <w:abstractNumId w:val="1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5"/>
  </w:num>
  <w:num w:numId="27">
    <w:abstractNumId w:val="14"/>
  </w:num>
  <w:num w:numId="28">
    <w:abstractNumId w:val="2"/>
  </w:num>
  <w:num w:numId="29">
    <w:abstractNumId w:val="4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230E9"/>
    <w:rsid w:val="0002557B"/>
    <w:rsid w:val="00050653"/>
    <w:rsid w:val="00051903"/>
    <w:rsid w:val="00055BC9"/>
    <w:rsid w:val="00056423"/>
    <w:rsid w:val="000625E9"/>
    <w:rsid w:val="0006299A"/>
    <w:rsid w:val="00062BBE"/>
    <w:rsid w:val="00063A3D"/>
    <w:rsid w:val="00073F35"/>
    <w:rsid w:val="000742F1"/>
    <w:rsid w:val="0008705A"/>
    <w:rsid w:val="0008744C"/>
    <w:rsid w:val="000910FC"/>
    <w:rsid w:val="00092B0B"/>
    <w:rsid w:val="00093393"/>
    <w:rsid w:val="0009608D"/>
    <w:rsid w:val="000A1E46"/>
    <w:rsid w:val="000B034F"/>
    <w:rsid w:val="000B794B"/>
    <w:rsid w:val="000C3633"/>
    <w:rsid w:val="000E63CB"/>
    <w:rsid w:val="000F18E1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B755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F0AE2"/>
    <w:rsid w:val="002F37C1"/>
    <w:rsid w:val="002F560C"/>
    <w:rsid w:val="00302298"/>
    <w:rsid w:val="00313E59"/>
    <w:rsid w:val="003200C4"/>
    <w:rsid w:val="00331F9E"/>
    <w:rsid w:val="00341EEF"/>
    <w:rsid w:val="003429B5"/>
    <w:rsid w:val="0034364C"/>
    <w:rsid w:val="003474AD"/>
    <w:rsid w:val="00352E26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F5A12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C6EE3"/>
    <w:rsid w:val="004D2CE7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41454"/>
    <w:rsid w:val="00561DF6"/>
    <w:rsid w:val="00563588"/>
    <w:rsid w:val="00567A1A"/>
    <w:rsid w:val="00580A3D"/>
    <w:rsid w:val="005866EA"/>
    <w:rsid w:val="00590B00"/>
    <w:rsid w:val="0059113E"/>
    <w:rsid w:val="00592674"/>
    <w:rsid w:val="00592D64"/>
    <w:rsid w:val="00597D6D"/>
    <w:rsid w:val="005B10E0"/>
    <w:rsid w:val="005B20AE"/>
    <w:rsid w:val="005C584E"/>
    <w:rsid w:val="005C76E4"/>
    <w:rsid w:val="005D5D11"/>
    <w:rsid w:val="005D6DF1"/>
    <w:rsid w:val="005E15D9"/>
    <w:rsid w:val="005E7372"/>
    <w:rsid w:val="005F1279"/>
    <w:rsid w:val="005F445C"/>
    <w:rsid w:val="005F51D7"/>
    <w:rsid w:val="005F6470"/>
    <w:rsid w:val="00600B13"/>
    <w:rsid w:val="00633864"/>
    <w:rsid w:val="0063678E"/>
    <w:rsid w:val="0065060A"/>
    <w:rsid w:val="00652ABA"/>
    <w:rsid w:val="00654E35"/>
    <w:rsid w:val="00654F07"/>
    <w:rsid w:val="006613DD"/>
    <w:rsid w:val="006626C3"/>
    <w:rsid w:val="006649B6"/>
    <w:rsid w:val="00665859"/>
    <w:rsid w:val="0067331B"/>
    <w:rsid w:val="00673EF1"/>
    <w:rsid w:val="00675E5F"/>
    <w:rsid w:val="006947F8"/>
    <w:rsid w:val="006A0D6A"/>
    <w:rsid w:val="006A1A77"/>
    <w:rsid w:val="006B767A"/>
    <w:rsid w:val="006C3B18"/>
    <w:rsid w:val="006D3351"/>
    <w:rsid w:val="006D5202"/>
    <w:rsid w:val="006D657C"/>
    <w:rsid w:val="006F348D"/>
    <w:rsid w:val="006F576F"/>
    <w:rsid w:val="00701035"/>
    <w:rsid w:val="00703893"/>
    <w:rsid w:val="00704D92"/>
    <w:rsid w:val="0071039C"/>
    <w:rsid w:val="007159CA"/>
    <w:rsid w:val="00715E62"/>
    <w:rsid w:val="00722C7E"/>
    <w:rsid w:val="00727941"/>
    <w:rsid w:val="00744A8B"/>
    <w:rsid w:val="007657C1"/>
    <w:rsid w:val="00765A60"/>
    <w:rsid w:val="00773AF6"/>
    <w:rsid w:val="00774C9E"/>
    <w:rsid w:val="0078046A"/>
    <w:rsid w:val="00784833"/>
    <w:rsid w:val="007965CB"/>
    <w:rsid w:val="0079722F"/>
    <w:rsid w:val="007A4173"/>
    <w:rsid w:val="007A5230"/>
    <w:rsid w:val="007A6552"/>
    <w:rsid w:val="007B42E0"/>
    <w:rsid w:val="007C18BA"/>
    <w:rsid w:val="007C2D7B"/>
    <w:rsid w:val="007C53C4"/>
    <w:rsid w:val="007C7503"/>
    <w:rsid w:val="007D4F23"/>
    <w:rsid w:val="007F2911"/>
    <w:rsid w:val="007F7034"/>
    <w:rsid w:val="00800A0D"/>
    <w:rsid w:val="00826D76"/>
    <w:rsid w:val="008523F1"/>
    <w:rsid w:val="00852962"/>
    <w:rsid w:val="00864DCC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0260"/>
    <w:rsid w:val="009E2D62"/>
    <w:rsid w:val="009E762F"/>
    <w:rsid w:val="009F2578"/>
    <w:rsid w:val="009F6923"/>
    <w:rsid w:val="009F766F"/>
    <w:rsid w:val="00A21545"/>
    <w:rsid w:val="00A234D4"/>
    <w:rsid w:val="00A36B33"/>
    <w:rsid w:val="00A413FD"/>
    <w:rsid w:val="00A5202C"/>
    <w:rsid w:val="00A5473E"/>
    <w:rsid w:val="00A774EA"/>
    <w:rsid w:val="00A97745"/>
    <w:rsid w:val="00AB57A5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56BF4"/>
    <w:rsid w:val="00B63E6C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0713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B1C2A"/>
    <w:rsid w:val="00CC58A5"/>
    <w:rsid w:val="00CF06D8"/>
    <w:rsid w:val="00D0090A"/>
    <w:rsid w:val="00D0260B"/>
    <w:rsid w:val="00D07AE8"/>
    <w:rsid w:val="00D11A47"/>
    <w:rsid w:val="00D1322D"/>
    <w:rsid w:val="00D17F7E"/>
    <w:rsid w:val="00D213BC"/>
    <w:rsid w:val="00D239D0"/>
    <w:rsid w:val="00D42FFE"/>
    <w:rsid w:val="00D47886"/>
    <w:rsid w:val="00D47953"/>
    <w:rsid w:val="00D5331B"/>
    <w:rsid w:val="00D5674B"/>
    <w:rsid w:val="00D61232"/>
    <w:rsid w:val="00D7042D"/>
    <w:rsid w:val="00D71A45"/>
    <w:rsid w:val="00D7354B"/>
    <w:rsid w:val="00D73F5F"/>
    <w:rsid w:val="00D75EF9"/>
    <w:rsid w:val="00D911DE"/>
    <w:rsid w:val="00DA75A3"/>
    <w:rsid w:val="00DC3268"/>
    <w:rsid w:val="00DD0B95"/>
    <w:rsid w:val="00DD14CD"/>
    <w:rsid w:val="00DD2E0E"/>
    <w:rsid w:val="00DD5FA2"/>
    <w:rsid w:val="00DD71B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2"/>
    <w:rsid w:val="00EE55D3"/>
    <w:rsid w:val="00EE6AA0"/>
    <w:rsid w:val="00EF76AB"/>
    <w:rsid w:val="00F02590"/>
    <w:rsid w:val="00F02DF2"/>
    <w:rsid w:val="00F23173"/>
    <w:rsid w:val="00F24CC0"/>
    <w:rsid w:val="00F316A6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5AF1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EDE35313AF8245B85331F246CC79B0" ma:contentTypeVersion="1" ma:contentTypeDescription="Crée un document." ma:contentTypeScope="" ma:versionID="d9f8cd3e1028e973bb57b93a8ffde054">
  <xsd:schema xmlns:xsd="http://www.w3.org/2001/XMLSchema" xmlns:xs="http://www.w3.org/2001/XMLSchema" xmlns:p="http://schemas.microsoft.com/office/2006/metadata/properties" xmlns:ns2="6ce68c48-a04f-42c6-9fe0-991be9dece5d" targetNamespace="http://schemas.microsoft.com/office/2006/metadata/properties" ma:root="true" ma:fieldsID="0674282bd9038ca1aaf3b1150d3393cb" ns2:_="">
    <xsd:import namespace="6ce68c48-a04f-42c6-9fe0-991be9dece5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68c48-a04f-42c6-9fe0-991be9dece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7EE244-8B04-4506-BF06-B993882D39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68c48-a04f-42c6-9fe0-991be9dec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66287EF-E0BF-4734-892F-9015897AB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27</TotalTime>
  <Pages>2</Pages>
  <Words>213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DE CROZALS Roselyne SA CL NORMALE DEF</cp:lastModifiedBy>
  <cp:revision>6</cp:revision>
  <dcterms:created xsi:type="dcterms:W3CDTF">2025-07-02T11:49:00Z</dcterms:created>
  <dcterms:modified xsi:type="dcterms:W3CDTF">2025-07-03T12:14:00Z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0x010100A8EDE35313AF8245B85331F246CC79B0</vt:lpwstr>
  </property>
</Properties>
</file>